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Форма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Финансово-экономическое обоснование проекта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tbl>
      <w:tblPr>
        <w:tblW w:w="9459" w:type="dxa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8"/>
        <w:gridCol w:w="8509"/>
        <w:gridCol w:w="422"/>
      </w:tblGrid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Ф. И. О. заявителя/наименование юридического лица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ИНН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ЕГРЮЛ/ЕГРИП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Основной вид деятельности (согласно коду ОКВЭД)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Дополнительный(е) вид(ы) деятельности (согласно коду ОКВЭД)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Режим(ы) налогообложения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Дата регистрации в налоговом органе, в качестве юридического лица (ИП)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Адрес регистрации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Фактический адрес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Контактный телефон, сотовый телефон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Общая стоимость проекта, в том числе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Объем средств гранта, 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Объем средств 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софинансирования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, 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Опыт работы в сфере туризма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Наличие доли в уставном капитале какого-либо юридического лица (размер доли, наименование и организационно-правовая форма юридического лица)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17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Кадастровый номер земельного участка и (или) средства размещения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" w:type="dxa"/>
            <w:textDirection w:val="lrTb"/>
            <w:noWrap w:val="false"/>
          </w:tcPr>
          <w:p>
            <w:pPr>
              <w:jc w:val="right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2. Описание текущей деятельности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2.1. Общее описание деятельности индивидуального предпринимателя или юридического лица, основные потребители вашей услуги, в том числе с разбивкой по регионам (место, откуда прибыли </w:t>
      </w: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потребители)_</w:t>
      </w: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___________________________.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2.2. Виды предлагаемых услуг, качественная характеристика услуг, цены, преимущества (отличительные черты) ваших услуг___________________________.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2.3. Опишите систему сбыта с указанием наличия (отсутствия) контрольно-кассовой техники с фискальным накопителем, дата ее регистрации в налоговом органе (в случае ее отсутствия указать причины, планируемую дату установки).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2.4. Влияние сезонности на объем реализуемых услуг, с указанием периодов «высокого» и «низкого» сезона. Количество обслуживаемых туристов ежеквартально за два года, предшествующих дате подачи заявки_______________.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2.5. Выручка от реализации услуг всего, размер уплаченных налогов, размер прибыли после уплаты налогов за текущий год и год, предшествующий подаче заявки______________________________________________________________.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2.6. Информация об общем количестве рабочих мест (количестве трудоустроенных граждан) на дату подписания заявления о предоставлении гранта (при наличии рабочих мест) _____________________________________________.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3. Направления расходования средств гранта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3.1. Краткое описание проекта с приложением эскизов, фотореалистичных изображений, выполненных при помощи компьютерной техники: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_________________________________________________________________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ind w:firstLine="709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3.2. Подробный перечень затрат, направленных на реализацию проекта: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tbl>
      <w:tblPr>
        <w:tblW w:w="94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1696"/>
        <w:gridCol w:w="1333"/>
        <w:gridCol w:w="1082"/>
        <w:gridCol w:w="1416"/>
        <w:gridCol w:w="1703"/>
        <w:gridCol w:w="1689"/>
      </w:tblGrid>
      <w:tr>
        <w:tblPrEx/>
        <w:trPr>
          <w:trHeight w:val="23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96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Наименование затрат, направленных на реализацию 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роекта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333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Количество, шт.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0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Общий бюджет, 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Имеющиеся средства, 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89" w:type="dxa"/>
            <w:vMerge w:val="restart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Запрашиваемая сумма гранта, 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0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собственные средства, 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jc w:val="center"/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привлеченные средства, 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8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082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082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082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W w:w="562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tcW w:w="302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  <w:t xml:space="preserve">Итого общая стоимость проекта, включая размер средств гранта, руб.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082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703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689" w:type="dxa"/>
            <w:textDirection w:val="lrTb"/>
            <w:noWrap w:val="false"/>
          </w:tcPr>
          <w:p>
            <w:pPr>
              <w:spacing w:after="0" w:line="235" w:lineRule="auto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1_633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4. Эффективность реализации гранта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5"/>
        <w:ind w:firstLine="709"/>
        <w:jc w:val="both"/>
        <w:spacing w:line="235" w:lineRule="auto"/>
        <w:widowControl w:val="off"/>
        <w:rPr>
          <w:color w:val="000000" w:themeColor="text1"/>
          <w:sz w:val="26"/>
          <w:szCs w:val="26"/>
          <w:lang w:val="ru-RU"/>
        </w:rPr>
      </w:pPr>
      <w:r>
        <w:rPr>
          <w:rFonts w:eastAsia="PT Astra Serif"/>
          <w:color w:val="000000" w:themeColor="text1"/>
          <w:sz w:val="26"/>
          <w:szCs w:val="26"/>
          <w:lang w:val="ru-RU"/>
        </w:rPr>
        <w:t xml:space="preserve">Документально подтвержденное количество туристов за два года (итоговый отчет, журнал учета). Планируемый турпоток к обслуживанию за период реализации проекта: ______ (рост туристского потока).</w:t>
      </w:r>
      <w:r/>
      <w:r>
        <w:rPr>
          <w:color w:val="000000" w:themeColor="text1"/>
          <w:sz w:val="26"/>
          <w:szCs w:val="26"/>
          <w:lang w:val="ru-RU"/>
        </w:rPr>
      </w:r>
    </w:p>
    <w:p>
      <w:pPr>
        <w:pStyle w:val="1_633"/>
        <w:jc w:val="right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tbl>
      <w:tblPr>
        <w:tblStyle w:val="49"/>
        <w:tblW w:w="9496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507"/>
        <w:gridCol w:w="567"/>
        <w:gridCol w:w="567"/>
        <w:gridCol w:w="489"/>
        <w:gridCol w:w="567"/>
        <w:gridCol w:w="567"/>
        <w:gridCol w:w="567"/>
        <w:gridCol w:w="425"/>
        <w:gridCol w:w="425"/>
        <w:gridCol w:w="567"/>
        <w:gridCol w:w="567"/>
        <w:gridCol w:w="567"/>
      </w:tblGrid>
      <w:tr>
        <w:tblPrEx/>
        <w:trPr>
          <w:cantSplit/>
          <w:trHeight w:val="1379"/>
        </w:trPr>
        <w:tc>
          <w:tcPr>
            <w:tcW w:w="421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№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п/п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0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январь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февраль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март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апрель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май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июнь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июль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август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сентябрь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октябрь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ноябрь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btLr"/>
            <w:noWrap w:val="false"/>
          </w:tcPr>
          <w:p>
            <w:pPr>
              <w:pStyle w:val="1_635"/>
              <w:ind w:left="113" w:right="113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декабрь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cantSplit/>
          <w:trHeight w:val="23"/>
        </w:trPr>
        <w:tc>
          <w:tcPr>
            <w:tcW w:w="421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1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2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3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4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5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6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7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8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9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10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11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12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13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14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W w:w="421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1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Предшествующий</w:t>
            </w: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год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W w:w="421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2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Текущий</w:t>
            </w: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год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23"/>
        </w:trPr>
        <w:tc>
          <w:tcPr>
            <w:tcW w:w="421" w:type="dxa"/>
            <w:textDirection w:val="lrTb"/>
            <w:noWrap w:val="false"/>
          </w:tcPr>
          <w:p>
            <w:pPr>
              <w:pStyle w:val="1_635"/>
              <w:jc w:val="center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  <w:lang w:val="ru-RU"/>
              </w:rPr>
              <w:t xml:space="preserve">3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Период</w:t>
            </w: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PT Astra Serif"/>
                <w:color w:val="000000" w:themeColor="text1"/>
                <w:sz w:val="26"/>
                <w:szCs w:val="26"/>
              </w:rPr>
              <w:t xml:space="preserve">реализации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both"/>
              <w:spacing w:line="235" w:lineRule="auto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1_633"/>
        <w:jc w:val="right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Количество туристов, планируемых к обслуживанию за период реализации 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5. Дополнительный результат от реализации гранта (объем реализованных услуг, рост количества рабочих мест, повышение качества туристских услуг,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снижение себестоимости, другое)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___________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1_633"/>
        <w:jc w:val="center"/>
        <w:spacing w:line="235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6"/>
          <w:szCs w:val="26"/>
        </w:rPr>
        <w:t xml:space="preserve">подпись участника конкурсного отбора</w:t>
      </w:r>
      <w:r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3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2026-03-04T03:40:06Z</dcterms:modified>
</cp:coreProperties>
</file>